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Информационный консалтинг</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89.5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«Информационный консалтинг»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«Информационный консалтинг».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«Информационный консалтинг»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внедрению эксплуатации, поддержанию устойчивого функционирования интегрированной системы управления рисками, мониторингу эффективности управления рисками и консультированию сотрудников по вопросам повышения эффективности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современные информа-ционные системы и технологии управления рисками и возможности их применения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продвинутого пользователя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уметь использовать специализированное программное обеспечение по управлению рисками, работать со специализиро-ванными программами по управлению рисками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навыками разработки требований к программному обеспечению по управлению рисками, помощь в выборе автоматизированной системы управления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постановки задач и контроль внедрения информационной системы управления рисками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«Информационный консалтинг» относится к обязательной части, является дисциплиной Блока Б1. «Дисциплины (модули)». Модуль "Интегрированная система управления рисками" основной профессиональной образовательной программы высшего образования - магистратура по направлению подготовки 38.04.02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764.7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pPr>
              <w:jc w:val="center"/>
              <w:spacing w:after="0" w:line="240" w:lineRule="auto"/>
              <w:rPr>
                <w:sz w:val="22"/>
                <w:szCs w:val="22"/>
              </w:rPr>
            </w:pPr>
            <w:r>
              <w:rPr>
                <w:rFonts w:ascii="Times New Roman" w:hAnsi="Times New Roman" w:cs="Times New Roman"/>
                <w:color w:val="#000000"/>
                <w:sz w:val="22"/>
                <w:szCs w:val="22"/>
              </w:rPr>
              <w:t> Модуль "Эффективная коммуникация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Финансовый риск-менеджмент</w:t>
            </w:r>
          </w:p>
          <w:p>
            <w:pPr>
              <w:jc w:val="center"/>
              <w:spacing w:after="0" w:line="240" w:lineRule="auto"/>
              <w:rPr>
                <w:sz w:val="22"/>
                <w:szCs w:val="22"/>
              </w:rPr>
            </w:pPr>
            <w:r>
              <w:rPr>
                <w:rFonts w:ascii="Times New Roman" w:hAnsi="Times New Roman" w:cs="Times New Roman"/>
                <w:color w:val="#000000"/>
                <w:sz w:val="22"/>
                <w:szCs w:val="22"/>
              </w:rPr>
              <w:t> Интегрированный риск-менеджмент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((организационно-управленческая) практика 4)</w:t>
            </w:r>
          </w:p>
          <w:p>
            <w:pPr>
              <w:jc w:val="center"/>
              <w:spacing w:after="0" w:line="240" w:lineRule="auto"/>
              <w:rPr>
                <w:sz w:val="22"/>
                <w:szCs w:val="22"/>
              </w:rPr>
            </w:pPr>
            <w:r>
              <w:rPr>
                <w:rFonts w:ascii="Times New Roman" w:hAnsi="Times New Roman" w:cs="Times New Roman"/>
                <w:color w:val="#000000"/>
                <w:sz w:val="22"/>
                <w:szCs w:val="22"/>
              </w:rPr>
              <w:t> Информационное обеспечение управления рисками</w:t>
            </w:r>
          </w:p>
          <w:p>
            <w:pPr>
              <w:jc w:val="center"/>
              <w:spacing w:after="0" w:line="240" w:lineRule="auto"/>
              <w:rPr>
                <w:sz w:val="22"/>
                <w:szCs w:val="22"/>
              </w:rPr>
            </w:pPr>
            <w:r>
              <w:rPr>
                <w:rFonts w:ascii="Times New Roman" w:hAnsi="Times New Roman" w:cs="Times New Roman"/>
                <w:color w:val="#000000"/>
                <w:sz w:val="22"/>
                <w:szCs w:val="22"/>
              </w:rPr>
              <w:t> Методы оценки рисков. Международные стандарты риск- менеджмента</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Мониторинг и оценка качества риск- менеджмента</w:t>
            </w:r>
          </w:p>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pPr>
              <w:jc w:val="center"/>
              <w:spacing w:after="0" w:line="240" w:lineRule="auto"/>
              <w:rPr>
                <w:sz w:val="22"/>
                <w:szCs w:val="22"/>
              </w:rPr>
            </w:pPr>
            <w:r>
              <w:rPr>
                <w:rFonts w:ascii="Times New Roman" w:hAnsi="Times New Roman" w:cs="Times New Roman"/>
                <w:color w:val="#000000"/>
                <w:sz w:val="22"/>
                <w:szCs w:val="22"/>
              </w:rPr>
              <w:t> Модуль "Эффективная коммуникация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Финансовый риск-менеджмент</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Модуль "Интегрированная система управления рисками"</w:t>
            </w:r>
          </w:p>
          <w:p>
            <w:pPr>
              <w:jc w:val="center"/>
              <w:spacing w:after="0" w:line="240" w:lineRule="auto"/>
              <w:rPr>
                <w:sz w:val="22"/>
                <w:szCs w:val="22"/>
              </w:rPr>
            </w:pPr>
            <w:r>
              <w:rPr>
                <w:rFonts w:ascii="Times New Roman" w:hAnsi="Times New Roman" w:cs="Times New Roman"/>
                <w:color w:val="#000000"/>
                <w:sz w:val="22"/>
                <w:szCs w:val="22"/>
              </w:rPr>
              <w:t> Консалтинг в риск-менеджменте</w:t>
            </w:r>
          </w:p>
          <w:p>
            <w:pPr>
              <w:jc w:val="center"/>
              <w:spacing w:after="0" w:line="240" w:lineRule="auto"/>
              <w:rPr>
                <w:sz w:val="22"/>
                <w:szCs w:val="22"/>
              </w:rPr>
            </w:pPr>
            <w:r>
              <w:rPr>
                <w:rFonts w:ascii="Times New Roman" w:hAnsi="Times New Roman" w:cs="Times New Roman"/>
                <w:color w:val="#000000"/>
                <w:sz w:val="22"/>
                <w:szCs w:val="22"/>
              </w:rPr>
              <w:t> Риски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конструкторской, технологической и организационной подготовки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информационного процесса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 и их учет в информационном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 в информационном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на</w:t>
            </w:r>
          </w:p>
          <w:p>
            <w:pPr>
              <w:jc w:val="left"/>
              <w:spacing w:after="0" w:line="240" w:lineRule="auto"/>
              <w:rPr>
                <w:sz w:val="24"/>
                <w:szCs w:val="24"/>
              </w:rPr>
            </w:pPr>
            <w:r>
              <w:rPr>
                <w:rFonts w:ascii="Times New Roman" w:hAnsi="Times New Roman" w:cs="Times New Roman"/>
                <w:color w:val="#000000"/>
                <w:sz w:val="24"/>
                <w:szCs w:val="24"/>
              </w:rPr>
              <w:t> разных  фазах  жизненного  цикла  инвестиционного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Концепции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реагирования на риски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8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информационного процесса управления</w:t>
            </w:r>
          </w:p>
        </w:tc>
      </w:tr>
      <w:tr>
        <w:trPr>
          <w:trHeight w:hRule="exact" w:val="287.8258"/>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выявления риска и их учет в информационном консалтинге</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выявлению риска; опросные	листы; структурные диаграммы;	карты потоков;	прямая инспекция;анализ финансовой и управленческой отчетности.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риска в информационном консалтинге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качественного анализа рисков проекта. Методы количественного анализа рисков проекта.Методы реагирования на риски проекта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риска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знаний  «управление  рисками  проекта».  Группа  процессов</w:t>
            </w:r>
          </w:p>
          <w:p>
            <w:pPr>
              <w:jc w:val="both"/>
              <w:spacing w:after="0" w:line="240" w:lineRule="auto"/>
              <w:rPr>
                <w:sz w:val="24"/>
                <w:szCs w:val="24"/>
              </w:rPr>
            </w:pPr>
            <w:r>
              <w:rPr>
                <w:rFonts w:ascii="Times New Roman" w:hAnsi="Times New Roman" w:cs="Times New Roman"/>
                <w:color w:val="#000000"/>
                <w:sz w:val="24"/>
                <w:szCs w:val="24"/>
              </w:rPr>
              <w:t> «планирование»,  процесс  «качественный  анализ рисков». Стороны проекта,</w:t>
            </w:r>
          </w:p>
          <w:p>
            <w:pPr>
              <w:jc w:val="both"/>
              <w:spacing w:after="0" w:line="240" w:lineRule="auto"/>
              <w:rPr>
                <w:sz w:val="24"/>
                <w:szCs w:val="24"/>
              </w:rPr>
            </w:pPr>
            <w:r>
              <w:rPr>
                <w:rFonts w:ascii="Times New Roman" w:hAnsi="Times New Roman" w:cs="Times New Roman"/>
                <w:color w:val="#000000"/>
                <w:sz w:val="24"/>
                <w:szCs w:val="24"/>
              </w:rPr>
              <w:t> на которые влияют риски. Шкала оценки влияния рисков. Экспертная оценка</w:t>
            </w:r>
          </w:p>
          <w:p>
            <w:pPr>
              <w:jc w:val="both"/>
              <w:spacing w:after="0" w:line="240" w:lineRule="auto"/>
              <w:rPr>
                <w:sz w:val="24"/>
                <w:szCs w:val="24"/>
              </w:rPr>
            </w:pPr>
            <w:r>
              <w:rPr>
                <w:rFonts w:ascii="Times New Roman" w:hAnsi="Times New Roman" w:cs="Times New Roman"/>
                <w:color w:val="#000000"/>
                <w:sz w:val="24"/>
                <w:szCs w:val="24"/>
              </w:rPr>
              <w:t> риска/  Метод  экспертных  оценок.  Построение  и  ведение  карт  рисков  на</w:t>
            </w:r>
          </w:p>
          <w:p>
            <w:pPr>
              <w:jc w:val="both"/>
              <w:spacing w:after="0" w:line="240" w:lineRule="auto"/>
              <w:rPr>
                <w:sz w:val="24"/>
                <w:szCs w:val="24"/>
              </w:rPr>
            </w:pPr>
            <w:r>
              <w:rPr>
                <w:rFonts w:ascii="Times New Roman" w:hAnsi="Times New Roman" w:cs="Times New Roman"/>
                <w:color w:val="#000000"/>
                <w:sz w:val="24"/>
                <w:szCs w:val="24"/>
              </w:rPr>
              <w:t> основе экспертного анализа. Формирование, рассылка экспертам, заполнение</w:t>
            </w:r>
          </w:p>
          <w:p>
            <w:pPr>
              <w:jc w:val="both"/>
              <w:spacing w:after="0" w:line="240" w:lineRule="auto"/>
              <w:rPr>
                <w:sz w:val="24"/>
                <w:szCs w:val="24"/>
              </w:rPr>
            </w:pPr>
            <w:r>
              <w:rPr>
                <w:rFonts w:ascii="Times New Roman" w:hAnsi="Times New Roman" w:cs="Times New Roman"/>
                <w:color w:val="#000000"/>
                <w:sz w:val="24"/>
                <w:szCs w:val="24"/>
              </w:rPr>
              <w:t> и  сбор  опросных  листов.  Проблемы  экспертных  оценок.  Составление</w:t>
            </w:r>
          </w:p>
          <w:p>
            <w:pPr>
              <w:jc w:val="both"/>
              <w:spacing w:after="0" w:line="240" w:lineRule="auto"/>
              <w:rPr>
                <w:sz w:val="24"/>
                <w:szCs w:val="24"/>
              </w:rPr>
            </w:pPr>
            <w:r>
              <w:rPr>
                <w:rFonts w:ascii="Times New Roman" w:hAnsi="Times New Roman" w:cs="Times New Roman"/>
                <w:color w:val="#000000"/>
                <w:sz w:val="24"/>
                <w:szCs w:val="24"/>
              </w:rPr>
              <w:t> структурных  диаграмм.  Карты  потоков.  SWOT-анализ.  Метод  проектов-аналогов. Метод  построения  дерева  событий.  Метод  анализа  уместности затрат.  Применение метода  экспертного  опроса  для  оценки  риска</w:t>
            </w:r>
          </w:p>
          <w:p>
            <w:pPr>
              <w:jc w:val="both"/>
              <w:spacing w:after="0" w:line="240" w:lineRule="auto"/>
              <w:rPr>
                <w:sz w:val="24"/>
                <w:szCs w:val="24"/>
              </w:rPr>
            </w:pPr>
            <w:r>
              <w:rPr>
                <w:rFonts w:ascii="Times New Roman" w:hAnsi="Times New Roman" w:cs="Times New Roman"/>
                <w:color w:val="#000000"/>
                <w:sz w:val="24"/>
                <w:szCs w:val="24"/>
              </w:rPr>
              <w:t> проекта.Основные  цели  количественного  анализа  рисков  проекта.  Анализ</w:t>
            </w:r>
          </w:p>
          <w:p>
            <w:pPr>
              <w:jc w:val="both"/>
              <w:spacing w:after="0" w:line="240" w:lineRule="auto"/>
              <w:rPr>
                <w:sz w:val="24"/>
                <w:szCs w:val="24"/>
              </w:rPr>
            </w:pPr>
            <w:r>
              <w:rPr>
                <w:rFonts w:ascii="Times New Roman" w:hAnsi="Times New Roman" w:cs="Times New Roman"/>
                <w:color w:val="#000000"/>
                <w:sz w:val="24"/>
                <w:szCs w:val="24"/>
              </w:rPr>
              <w:t> чувствительности  проектов.  Основные  инструменты  (анализ</w:t>
            </w:r>
          </w:p>
          <w:p>
            <w:pPr>
              <w:jc w:val="both"/>
              <w:spacing w:after="0" w:line="240" w:lineRule="auto"/>
              <w:rPr>
                <w:sz w:val="24"/>
                <w:szCs w:val="24"/>
              </w:rPr>
            </w:pPr>
            <w:r>
              <w:rPr>
                <w:rFonts w:ascii="Times New Roman" w:hAnsi="Times New Roman" w:cs="Times New Roman"/>
                <w:color w:val="#000000"/>
                <w:sz w:val="24"/>
                <w:szCs w:val="24"/>
              </w:rPr>
              <w:t> чувствительности,  анализ  ожидаемой  денежной  величины,  метод  Монте-</w:t>
            </w:r>
          </w:p>
          <w:p>
            <w:pPr>
              <w:jc w:val="both"/>
              <w:spacing w:after="0" w:line="240" w:lineRule="auto"/>
              <w:rPr>
                <w:sz w:val="24"/>
                <w:szCs w:val="24"/>
              </w:rPr>
            </w:pPr>
            <w:r>
              <w:rPr>
                <w:rFonts w:ascii="Times New Roman" w:hAnsi="Times New Roman" w:cs="Times New Roman"/>
                <w:color w:val="#000000"/>
                <w:sz w:val="24"/>
                <w:szCs w:val="24"/>
              </w:rPr>
              <w:t> Карло).</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Концепции управления рисками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управления рисками проекта. Основные цели планирования</w:t>
            </w:r>
          </w:p>
          <w:p>
            <w:pPr>
              <w:jc w:val="both"/>
              <w:spacing w:after="0" w:line="240" w:lineRule="auto"/>
              <w:rPr>
                <w:sz w:val="24"/>
                <w:szCs w:val="24"/>
              </w:rPr>
            </w:pPr>
            <w:r>
              <w:rPr>
                <w:rFonts w:ascii="Times New Roman" w:hAnsi="Times New Roman" w:cs="Times New Roman"/>
                <w:color w:val="#000000"/>
                <w:sz w:val="24"/>
                <w:szCs w:val="24"/>
              </w:rPr>
              <w:t> управления рисками проекта. Основные разделы плана управления рисками.</w:t>
            </w:r>
          </w:p>
          <w:p>
            <w:pPr>
              <w:jc w:val="both"/>
              <w:spacing w:after="0" w:line="240" w:lineRule="auto"/>
              <w:rPr>
                <w:sz w:val="24"/>
                <w:szCs w:val="24"/>
              </w:rPr>
            </w:pPr>
            <w:r>
              <w:rPr>
                <w:rFonts w:ascii="Times New Roman" w:hAnsi="Times New Roman" w:cs="Times New Roman"/>
                <w:color w:val="#000000"/>
                <w:sz w:val="24"/>
                <w:szCs w:val="24"/>
              </w:rPr>
              <w:t> Организация разработки плана управления рисками. Управление рисками на</w:t>
            </w:r>
          </w:p>
          <w:p>
            <w:pPr>
              <w:jc w:val="both"/>
              <w:spacing w:after="0" w:line="240" w:lineRule="auto"/>
              <w:rPr>
                <w:sz w:val="24"/>
                <w:szCs w:val="24"/>
              </w:rPr>
            </w:pPr>
            <w:r>
              <w:rPr>
                <w:rFonts w:ascii="Times New Roman" w:hAnsi="Times New Roman" w:cs="Times New Roman"/>
                <w:color w:val="#000000"/>
                <w:sz w:val="24"/>
                <w:szCs w:val="24"/>
              </w:rPr>
              <w:t> разных  фазах  жизненного  цикла  инвестиционного  проекта.  Организация</w:t>
            </w:r>
          </w:p>
          <w:p>
            <w:pPr>
              <w:jc w:val="both"/>
              <w:spacing w:after="0" w:line="240" w:lineRule="auto"/>
              <w:rPr>
                <w:sz w:val="24"/>
                <w:szCs w:val="24"/>
              </w:rPr>
            </w:pPr>
            <w:r>
              <w:rPr>
                <w:rFonts w:ascii="Times New Roman" w:hAnsi="Times New Roman" w:cs="Times New Roman"/>
                <w:color w:val="#000000"/>
                <w:sz w:val="24"/>
                <w:szCs w:val="24"/>
              </w:rPr>
              <w:t> системы риск-менеджмента в компании.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реагирования на риски проекта</w:t>
            </w:r>
          </w:p>
        </w:tc>
      </w:tr>
      <w:tr>
        <w:trPr>
          <w:trHeight w:hRule="exact" w:val="3801.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стратегии  реагирования  (уклонение  от  риска,  передача</w:t>
            </w:r>
          </w:p>
          <w:p>
            <w:pPr>
              <w:jc w:val="both"/>
              <w:spacing w:after="0" w:line="240" w:lineRule="auto"/>
              <w:rPr>
                <w:sz w:val="24"/>
                <w:szCs w:val="24"/>
              </w:rPr>
            </w:pPr>
            <w:r>
              <w:rPr>
                <w:rFonts w:ascii="Times New Roman" w:hAnsi="Times New Roman" w:cs="Times New Roman"/>
                <w:color w:val="#000000"/>
                <w:sz w:val="24"/>
                <w:szCs w:val="24"/>
              </w:rPr>
              <w:t> риска, снижение риска). Действия при реагировании на чистые риски (поиск</w:t>
            </w:r>
          </w:p>
          <w:p>
            <w:pPr>
              <w:jc w:val="both"/>
              <w:spacing w:after="0" w:line="240" w:lineRule="auto"/>
              <w:rPr>
                <w:sz w:val="24"/>
                <w:szCs w:val="24"/>
              </w:rPr>
            </w:pPr>
            <w:r>
              <w:rPr>
                <w:rFonts w:ascii="Times New Roman" w:hAnsi="Times New Roman" w:cs="Times New Roman"/>
                <w:color w:val="#000000"/>
                <w:sz w:val="24"/>
                <w:szCs w:val="24"/>
              </w:rPr>
              <w:t> альтернативного  решения  срочное  изменение  плана  проекта,  анализ</w:t>
            </w:r>
          </w:p>
          <w:p>
            <w:pPr>
              <w:jc w:val="both"/>
              <w:spacing w:after="0" w:line="240" w:lineRule="auto"/>
              <w:rPr>
                <w:sz w:val="24"/>
                <w:szCs w:val="24"/>
              </w:rPr>
            </w:pPr>
            <w:r>
              <w:rPr>
                <w:rFonts w:ascii="Times New Roman" w:hAnsi="Times New Roman" w:cs="Times New Roman"/>
                <w:color w:val="#000000"/>
                <w:sz w:val="24"/>
                <w:szCs w:val="24"/>
              </w:rPr>
              <w:t> множества  рисков,  отслеживание  риска).  Стратегии  реагирования  в  случае</w:t>
            </w:r>
          </w:p>
          <w:p>
            <w:pPr>
              <w:jc w:val="both"/>
              <w:spacing w:after="0" w:line="240" w:lineRule="auto"/>
              <w:rPr>
                <w:sz w:val="24"/>
                <w:szCs w:val="24"/>
              </w:rPr>
            </w:pPr>
            <w:r>
              <w:rPr>
                <w:rFonts w:ascii="Times New Roman" w:hAnsi="Times New Roman" w:cs="Times New Roman"/>
                <w:color w:val="#000000"/>
                <w:sz w:val="24"/>
                <w:szCs w:val="24"/>
              </w:rPr>
              <w:t> позитивного  риска  (использование  риска,  совместное  использование  риска,</w:t>
            </w:r>
          </w:p>
          <w:p>
            <w:pPr>
              <w:jc w:val="both"/>
              <w:spacing w:after="0" w:line="240" w:lineRule="auto"/>
              <w:rPr>
                <w:sz w:val="24"/>
                <w:szCs w:val="24"/>
              </w:rPr>
            </w:pPr>
            <w:r>
              <w:rPr>
                <w:rFonts w:ascii="Times New Roman" w:hAnsi="Times New Roman" w:cs="Times New Roman"/>
                <w:color w:val="#000000"/>
                <w:sz w:val="24"/>
                <w:szCs w:val="24"/>
              </w:rPr>
              <w:t> усиление риска, принятие риска).</w:t>
            </w:r>
          </w:p>
          <w:p>
            <w:pPr>
              <w:jc w:val="both"/>
              <w:spacing w:after="0" w:line="240" w:lineRule="auto"/>
              <w:rPr>
                <w:sz w:val="24"/>
                <w:szCs w:val="24"/>
              </w:rPr>
            </w:pPr>
            <w:r>
              <w:rPr>
                <w:rFonts w:ascii="Times New Roman" w:hAnsi="Times New Roman" w:cs="Times New Roman"/>
                <w:color w:val="#000000"/>
                <w:sz w:val="24"/>
                <w:szCs w:val="24"/>
              </w:rPr>
              <w:t> Избежание  (предупреждение  потенциального)  риска.  Отказ  от</w:t>
            </w:r>
          </w:p>
          <w:p>
            <w:pPr>
              <w:jc w:val="both"/>
              <w:spacing w:after="0" w:line="240" w:lineRule="auto"/>
              <w:rPr>
                <w:sz w:val="24"/>
                <w:szCs w:val="24"/>
              </w:rPr>
            </w:pPr>
            <w:r>
              <w:rPr>
                <w:rFonts w:ascii="Times New Roman" w:hAnsi="Times New Roman" w:cs="Times New Roman"/>
                <w:color w:val="#000000"/>
                <w:sz w:val="24"/>
                <w:szCs w:val="24"/>
              </w:rPr>
              <w:t> ненадежных  партнеров  и  рискованных  проектов.  Критерии  допустимого риска. Избежание  риска.  Сокращение  степени  риска.  Разработка  плана</w:t>
            </w:r>
          </w:p>
          <w:p>
            <w:pPr>
              <w:jc w:val="both"/>
              <w:spacing w:after="0" w:line="240" w:lineRule="auto"/>
              <w:rPr>
                <w:sz w:val="24"/>
                <w:szCs w:val="24"/>
              </w:rPr>
            </w:pPr>
            <w:r>
              <w:rPr>
                <w:rFonts w:ascii="Times New Roman" w:hAnsi="Times New Roman" w:cs="Times New Roman"/>
                <w:color w:val="#000000"/>
                <w:sz w:val="24"/>
                <w:szCs w:val="24"/>
              </w:rPr>
              <w:t> мероприятий  по  снижению  возможного  ущерба  и  (или)  вероятности</w:t>
            </w:r>
          </w:p>
          <w:p>
            <w:pPr>
              <w:jc w:val="both"/>
              <w:spacing w:after="0" w:line="240" w:lineRule="auto"/>
              <w:rPr>
                <w:sz w:val="24"/>
                <w:szCs w:val="24"/>
              </w:rPr>
            </w:pPr>
            <w:r>
              <w:rPr>
                <w:rFonts w:ascii="Times New Roman" w:hAnsi="Times New Roman" w:cs="Times New Roman"/>
                <w:color w:val="#000000"/>
                <w:sz w:val="24"/>
                <w:szCs w:val="24"/>
              </w:rPr>
              <w:t> возникновения риска. Передача риска. Лимитирование концентрации риска.</w:t>
            </w:r>
          </w:p>
          <w:p>
            <w:pPr>
              <w:jc w:val="both"/>
              <w:spacing w:after="0" w:line="240" w:lineRule="auto"/>
              <w:rPr>
                <w:sz w:val="24"/>
                <w:szCs w:val="24"/>
              </w:rPr>
            </w:pPr>
            <w:r>
              <w:rPr>
                <w:rFonts w:ascii="Times New Roman" w:hAnsi="Times New Roman" w:cs="Times New Roman"/>
                <w:color w:val="#000000"/>
                <w:sz w:val="24"/>
                <w:szCs w:val="24"/>
              </w:rPr>
              <w:t> Распределение  рисков.  Диверсификация  рисков.  Страхование</w:t>
            </w:r>
          </w:p>
          <w:p>
            <w:pPr>
              <w:jc w:val="both"/>
              <w:spacing w:after="0" w:line="240" w:lineRule="auto"/>
              <w:rPr>
                <w:sz w:val="24"/>
                <w:szCs w:val="24"/>
              </w:rPr>
            </w:pPr>
            <w:r>
              <w:rPr>
                <w:rFonts w:ascii="Times New Roman" w:hAnsi="Times New Roman" w:cs="Times New Roman"/>
                <w:color w:val="#000000"/>
                <w:sz w:val="24"/>
                <w:szCs w:val="24"/>
              </w:rPr>
              <w:t> инвестиционных  рисков  и  его  виды.  Создание  и</w:t>
            </w:r>
          </w:p>
          <w:p>
            <w:pPr>
              <w:jc w:val="both"/>
              <w:spacing w:after="0" w:line="240" w:lineRule="auto"/>
              <w:rPr>
                <w:sz w:val="24"/>
                <w:szCs w:val="24"/>
              </w:rPr>
            </w:pPr>
            <w:r>
              <w:rPr>
                <w:rFonts w:ascii="Times New Roman" w:hAnsi="Times New Roman" w:cs="Times New Roman"/>
                <w:color w:val="#000000"/>
                <w:sz w:val="24"/>
                <w:szCs w:val="24"/>
              </w:rPr>
              <w:t> использование резерва непредвиденных расходов и потерь проекта.</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на</w:t>
            </w:r>
          </w:p>
          <w:p>
            <w:pPr>
              <w:jc w:val="left"/>
              <w:spacing w:after="0" w:line="240" w:lineRule="auto"/>
              <w:rPr>
                <w:sz w:val="24"/>
                <w:szCs w:val="24"/>
              </w:rPr>
            </w:pPr>
            <w:r>
              <w:rPr>
                <w:rFonts w:ascii="Times New Roman" w:hAnsi="Times New Roman" w:cs="Times New Roman"/>
                <w:color w:val="#000000"/>
                <w:sz w:val="24"/>
                <w:szCs w:val="24"/>
              </w:rPr>
              <w:t> разных  фазах  жизненного  цикла  инвестиционного  проекта.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«Информационный консалтинг»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978-5-534-11408-9.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https://urait.ru/bcode/457080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https://urait.ru/bcode/450164</w:t>
            </w:r>
            <w:r>
              <w:rPr/>
              <w:t xml:space="preserve"> </w:t>
            </w:r>
          </w:p>
        </w:tc>
      </w:tr>
      <w:tr>
        <w:trPr>
          <w:trHeight w:hRule="exact" w:val="304.5845"/>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https://urait.ru/bcode/451704</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базе</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базе</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978-5-4497-0300-2.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http://www.iprbookshop.ru/89416.html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21.8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093.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039.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2024-2025_ФГОС3++2024_Маг-ОФО-Менеджмент(РМСиТПО)(24)_plx_Информационный консалтинг</dc:title>
  <dc:creator>FastReport.NET</dc:creator>
</cp:coreProperties>
</file>